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MEDIJIMA</w:t>
      </w:r>
    </w:p>
    <w:p>
      <w:pPr>
        <w:pStyle w:val="Normal"/>
        <w:jc w:val="right"/>
        <w:rPr/>
      </w:pPr>
      <w:r>
        <w:rPr/>
        <w:tab/>
      </w:r>
    </w:p>
    <w:p>
      <w:pPr>
        <w:pStyle w:val="Normal"/>
        <w:jc w:val="center"/>
        <w:rPr/>
      </w:pPr>
      <w:r>
        <w:rPr/>
      </w:r>
    </w:p>
    <w:p>
      <w:pPr>
        <w:pStyle w:val="Normal"/>
        <w:jc w:val="left"/>
        <w:rPr/>
      </w:pPr>
      <w:r>
        <w:rPr/>
        <w:t>Pula, 2</w:t>
      </w:r>
      <w:r>
        <w:rPr/>
        <w:t>9</w:t>
      </w:r>
      <w:r>
        <w:rPr/>
        <w:t xml:space="preserve">. </w:t>
      </w:r>
      <w:r>
        <w:rPr>
          <w:rFonts w:eastAsia="Droid Sans Fallback" w:cs="Calibri"/>
          <w:color w:val="00000A"/>
          <w:sz w:val="24"/>
          <w:szCs w:val="24"/>
          <w:lang w:val="hr-HR" w:eastAsia="en-US" w:bidi="ar-SA"/>
        </w:rPr>
        <w:t xml:space="preserve">lipnja </w:t>
      </w:r>
      <w:r>
        <w:rPr/>
        <w:t>2022.</w:t>
      </w:r>
    </w:p>
    <w:p>
      <w:pPr>
        <w:pStyle w:val="Normal"/>
        <w:jc w:val="center"/>
        <w:rPr/>
      </w:pPr>
      <w:r>
        <w:rPr/>
      </w:r>
    </w:p>
    <w:p>
      <w:pPr>
        <w:pStyle w:val="Normal"/>
        <w:jc w:val="center"/>
        <w:rPr>
          <w:b/>
          <w:b/>
          <w:bCs/>
        </w:rPr>
      </w:pPr>
      <w:r>
        <w:rPr>
          <w:b/>
          <w:bCs/>
        </w:rPr>
      </w:r>
    </w:p>
    <w:p>
      <w:pPr>
        <w:pStyle w:val="Normal"/>
        <w:jc w:val="both"/>
        <w:rPr/>
      </w:pPr>
      <w:r>
        <w:rPr>
          <w:b/>
          <w:bCs/>
        </w:rPr>
        <w:t xml:space="preserve">Priopćenje: </w:t>
      </w:r>
      <w:r>
        <w:rPr>
          <w:b/>
          <w:bCs/>
        </w:rPr>
        <w:t>Zelena Istra s</w:t>
      </w:r>
      <w:r>
        <w:rPr>
          <w:rFonts w:eastAsia="Droid Sans Fallback" w:cs="Calibri"/>
          <w:b/>
          <w:bCs/>
          <w:color w:val="00000A"/>
          <w:kern w:val="0"/>
          <w:sz w:val="24"/>
          <w:szCs w:val="24"/>
          <w:lang w:val="hr-HR" w:eastAsia="en-US" w:bidi="ar-SA"/>
        </w:rPr>
        <w:t xml:space="preserve"> </w:t>
      </w:r>
      <w:r>
        <w:rPr>
          <w:b/>
          <w:bCs/>
        </w:rPr>
        <w:t xml:space="preserve">partnerima izdala novi </w:t>
      </w:r>
      <w:r>
        <w:rPr>
          <w:b/>
          <w:bCs/>
        </w:rPr>
        <w:t xml:space="preserve">priručnik </w:t>
      </w:r>
      <w:r>
        <w:rPr>
          <w:b/>
          <w:bCs/>
        </w:rPr>
        <w:t xml:space="preserve">za edukaciju mladih </w:t>
      </w:r>
      <w:r>
        <w:rPr>
          <w:b/>
          <w:bCs/>
        </w:rPr>
        <w:t>„Alati za učenje – alati za održivi razvoj”</w:t>
      </w:r>
    </w:p>
    <w:p>
      <w:pPr>
        <w:pStyle w:val="Normal"/>
        <w:jc w:val="both"/>
        <w:rPr>
          <w:b/>
          <w:b/>
          <w:bCs/>
        </w:rPr>
      </w:pPr>
      <w:r>
        <w:rPr/>
      </w:r>
    </w:p>
    <w:p>
      <w:pPr>
        <w:pStyle w:val="Normal"/>
        <w:jc w:val="left"/>
        <w:rPr/>
      </w:pPr>
      <w:r>
        <w:rPr>
          <w:rFonts w:eastAsia="Droid Sans Fallback" w:cs="Calibri"/>
          <w:b w:val="false"/>
          <w:bCs w:val="false"/>
          <w:color w:val="00000A"/>
          <w:kern w:val="0"/>
          <w:sz w:val="24"/>
          <w:szCs w:val="24"/>
          <w:lang w:val="hr-HR" w:eastAsia="en-US" w:bidi="ar-SA"/>
        </w:rPr>
        <w:t xml:space="preserve">Tri okolišne organizacije, Zelena Istra, Inštitut za politike prostora – IPoP i Legambiente Lombardia izdale su u lipnju 2022. novi priručnik pod nazivom „Alati za učenje – alati za održivi razvoj”.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w:t>
      </w:r>
      <w:r>
        <w:rPr>
          <w:rFonts w:eastAsia="Droid Sans Fallback" w:cs="Calibri"/>
          <w:b w:val="false"/>
          <w:bCs w:val="false"/>
          <w:color w:val="00000A"/>
          <w:kern w:val="0"/>
          <w:sz w:val="24"/>
          <w:szCs w:val="24"/>
          <w:lang w:val="hr-HR" w:eastAsia="en-US" w:bidi="ar-SA"/>
        </w:rPr>
        <w:t>Alati za učenje – alati za održivi razvoj” priručnik je za moderno, na kompetencije usmjereno podučavanje nastavnika o održivom razvoju. Priručnik je namijenjen i svim osobama koje rade s mladima iz organizacija civilnog društva koje se već bave ili će se, nadahnute priručnikom, tek početi baviti temama održivog razvoja.</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Priručnik uključuje podroban opis osam inovativnih alata, odnosno metoda za neformalno učenje kojima se već niz godina u svom radu s mladima uspješno koriste tri </w:t>
      </w:r>
      <w:r>
        <w:rPr>
          <w:rFonts w:eastAsia="Droid Sans Fallback" w:cs="Calibri"/>
          <w:b w:val="false"/>
          <w:bCs w:val="false"/>
          <w:color w:val="00000A"/>
          <w:kern w:val="0"/>
          <w:sz w:val="24"/>
          <w:szCs w:val="24"/>
          <w:lang w:val="hr-HR" w:eastAsia="en-US" w:bidi="ar-SA"/>
        </w:rPr>
        <w:t xml:space="preserve">spomenute </w:t>
      </w:r>
      <w:r>
        <w:rPr>
          <w:rFonts w:eastAsia="Droid Sans Fallback" w:cs="Calibri"/>
          <w:b w:val="false"/>
          <w:bCs w:val="false"/>
          <w:color w:val="00000A"/>
          <w:kern w:val="0"/>
          <w:sz w:val="24"/>
          <w:szCs w:val="24"/>
          <w:lang w:val="hr-HR" w:eastAsia="en-US" w:bidi="ar-SA"/>
        </w:rPr>
        <w:t xml:space="preserve">organizacije civilnog društva.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Alati su usmjereni na tri tematska područja – prostorno uređenje, smanjenje nastanka otpada te klimatske promjene. U priručniku </w:t>
      </w:r>
      <w:r>
        <w:rPr>
          <w:rFonts w:eastAsia="Droid Sans Fallback" w:cs="Calibri"/>
          <w:b w:val="false"/>
          <w:bCs w:val="false"/>
          <w:color w:val="00000A"/>
          <w:kern w:val="0"/>
          <w:sz w:val="24"/>
          <w:szCs w:val="24"/>
          <w:lang w:val="hr-HR" w:eastAsia="en-US" w:bidi="ar-SA"/>
        </w:rPr>
        <w:t>je st</w:t>
      </w:r>
      <w:r>
        <w:rPr>
          <w:rFonts w:eastAsia="Droid Sans Fallback" w:cs="Calibri"/>
          <w:b w:val="false"/>
          <w:bCs w:val="false"/>
          <w:color w:val="00000A"/>
          <w:kern w:val="0"/>
          <w:sz w:val="24"/>
          <w:szCs w:val="24"/>
          <w:lang w:val="hr-HR" w:eastAsia="en-US" w:bidi="ar-SA"/>
        </w:rPr>
        <w:t xml:space="preserve">oga </w:t>
      </w:r>
      <w:r>
        <w:rPr>
          <w:rFonts w:eastAsia="Droid Sans Fallback" w:cs="Calibri"/>
          <w:b w:val="false"/>
          <w:bCs w:val="false"/>
          <w:color w:val="00000A"/>
          <w:kern w:val="0"/>
          <w:sz w:val="24"/>
          <w:szCs w:val="24"/>
          <w:lang w:val="hr-HR" w:eastAsia="en-US" w:bidi="ar-SA"/>
        </w:rPr>
        <w:t>moguće</w:t>
      </w:r>
      <w:r>
        <w:rPr>
          <w:rFonts w:eastAsia="Droid Sans Fallback" w:cs="Calibri"/>
          <w:b w:val="false"/>
          <w:bCs w:val="false"/>
          <w:color w:val="00000A"/>
          <w:kern w:val="0"/>
          <w:sz w:val="24"/>
          <w:szCs w:val="24"/>
          <w:lang w:val="hr-HR" w:eastAsia="en-US" w:bidi="ar-SA"/>
        </w:rPr>
        <w:t xml:space="preserve"> pronaći sve što </w:t>
      </w:r>
      <w:r>
        <w:rPr>
          <w:rFonts w:eastAsia="Droid Sans Fallback" w:cs="Calibri"/>
          <w:b w:val="false"/>
          <w:bCs w:val="false"/>
          <w:color w:val="00000A"/>
          <w:kern w:val="0"/>
          <w:sz w:val="24"/>
          <w:szCs w:val="24"/>
          <w:lang w:val="hr-HR" w:eastAsia="en-US" w:bidi="ar-SA"/>
        </w:rPr>
        <w:t xml:space="preserve">je potrebno </w:t>
      </w:r>
      <w:r>
        <w:rPr>
          <w:rFonts w:eastAsia="Droid Sans Fallback" w:cs="Calibri"/>
          <w:b w:val="false"/>
          <w:bCs w:val="false"/>
          <w:color w:val="00000A"/>
          <w:kern w:val="0"/>
          <w:sz w:val="24"/>
          <w:szCs w:val="24"/>
          <w:lang w:val="hr-HR" w:eastAsia="en-US" w:bidi="ar-SA"/>
        </w:rPr>
        <w:t xml:space="preserve">znati o organizaciji i realizaciji sajma razmjene, simulacije UN-ove Konferencije o klimatskim promjenama, urbane šetnje, </w:t>
      </w:r>
      <w:r>
        <w:rPr>
          <w:rFonts w:eastAsia="Droid Sans Fallback" w:cs="Calibri"/>
          <w:b w:val="false"/>
          <w:bCs w:val="false"/>
          <w:color w:val="00000A"/>
          <w:kern w:val="0"/>
          <w:sz w:val="24"/>
          <w:szCs w:val="24"/>
          <w:lang w:val="hr-HR" w:eastAsia="en-US" w:bidi="ar-SA"/>
        </w:rPr>
        <w:t>kao i drugih alata za rad s mladima.</w:t>
      </w:r>
      <w:r>
        <w:rPr>
          <w:rFonts w:eastAsia="Droid Sans Fallback" w:cs="Calibri"/>
          <w:b w:val="false"/>
          <w:bCs w:val="false"/>
          <w:color w:val="00000A"/>
          <w:kern w:val="0"/>
          <w:sz w:val="24"/>
          <w:szCs w:val="24"/>
          <w:lang w:val="hr-HR" w:eastAsia="en-US" w:bidi="ar-SA"/>
        </w:rPr>
        <w:t xml:space="preserve">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Priručnik predlaže na koji način uključiti mlade, daje upute za provedbu metoda po koracima, prezentira ishode učenja te metode za procjenu usvojenosti ishoda učenja od strane mladih učenika.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Dostupan je u elektroničkom </w:t>
      </w:r>
      <w:r>
        <w:rPr>
          <w:rFonts w:eastAsia="Droid Sans Fallback" w:cs="Calibri"/>
          <w:b w:val="false"/>
          <w:bCs w:val="false"/>
          <w:color w:val="00000A"/>
          <w:kern w:val="0"/>
          <w:sz w:val="24"/>
          <w:szCs w:val="24"/>
          <w:lang w:val="hr-HR" w:eastAsia="en-US" w:bidi="ar-SA"/>
        </w:rPr>
        <w:t xml:space="preserve">i tiskanom </w:t>
      </w:r>
      <w:r>
        <w:rPr>
          <w:rFonts w:eastAsia="Droid Sans Fallback" w:cs="Calibri"/>
          <w:b w:val="false"/>
          <w:bCs w:val="false"/>
          <w:color w:val="00000A"/>
          <w:kern w:val="0"/>
          <w:sz w:val="24"/>
          <w:szCs w:val="24"/>
          <w:lang w:val="hr-HR" w:eastAsia="en-US" w:bidi="ar-SA"/>
        </w:rPr>
        <w:t>obliku na hrvatskom, talijanskom, slovenskom i engleskom jeziku.</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tabs>
          <w:tab w:val="clear" w:pos="720"/>
          <w:tab w:val="left" w:pos="8460" w:leader="none"/>
        </w:tabs>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Elektroničke inačice zainteresirani mogu preuzeti </w:t>
      </w:r>
      <w:hyperlink r:id="rId2">
        <w:r>
          <w:rPr>
            <w:rStyle w:val="Internetskapoveznica"/>
            <w:rFonts w:eastAsia="Droid Sans Fallback" w:cs="Calibri"/>
            <w:b w:val="false"/>
            <w:bCs w:val="false"/>
            <w:color w:val="00000A"/>
            <w:kern w:val="0"/>
            <w:sz w:val="24"/>
            <w:szCs w:val="24"/>
            <w:lang w:val="hr-HR" w:eastAsia="en-US" w:bidi="ar-SA"/>
          </w:rPr>
          <w:t>na web stranici Zelene Istre</w:t>
        </w:r>
      </w:hyperlink>
      <w:r>
        <w:rPr>
          <w:rFonts w:eastAsia="Droid Sans Fallback" w:cs="Calibri"/>
          <w:b w:val="false"/>
          <w:bCs w:val="false"/>
          <w:color w:val="00000A"/>
          <w:kern w:val="0"/>
          <w:sz w:val="24"/>
          <w:szCs w:val="24"/>
          <w:lang w:val="hr-HR" w:eastAsia="en-US" w:bidi="ar-SA"/>
        </w:rPr>
        <w:t>.</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IPoP, Legambiente Lombardia i Zelena Istra izradili su priručnik „Alati za učenje – alati za održivi razvoj” u okviru istoimenog projekta </w:t>
      </w:r>
      <w:r>
        <w:rPr>
          <w:rFonts w:eastAsia="Droid Sans Fallback" w:cs="Calibri"/>
          <w:b w:val="false"/>
          <w:bCs w:val="false"/>
          <w:color w:val="00000A"/>
          <w:kern w:val="0"/>
          <w:sz w:val="24"/>
          <w:szCs w:val="24"/>
          <w:lang w:val="hr-HR" w:eastAsia="en-US" w:bidi="ar-SA"/>
        </w:rPr>
        <w:t xml:space="preserve">sufinanciranog sredstvima </w:t>
      </w:r>
      <w:hyperlink r:id="rId3">
        <w:r>
          <w:rPr>
            <w:rStyle w:val="Internetskapoveznica"/>
            <w:rFonts w:eastAsia="Droid Sans Fallback" w:cs="Calibri"/>
            <w:b w:val="false"/>
            <w:bCs w:val="false"/>
            <w:color w:val="00000A"/>
            <w:kern w:val="0"/>
            <w:sz w:val="24"/>
            <w:szCs w:val="24"/>
            <w:lang w:val="hr-HR" w:eastAsia="en-US" w:bidi="ar-SA"/>
          </w:rPr>
          <w:t>programa Europske unije Erasmus+</w:t>
        </w:r>
      </w:hyperlink>
      <w:r>
        <w:rPr>
          <w:rFonts w:eastAsia="Droid Sans Fallback" w:cs="Calibri"/>
          <w:b w:val="false"/>
          <w:bCs w:val="false"/>
          <w:color w:val="00000A"/>
          <w:kern w:val="0"/>
          <w:sz w:val="24"/>
          <w:szCs w:val="24"/>
          <w:lang w:val="hr-HR" w:eastAsia="en-US" w:bidi="ar-SA"/>
        </w:rPr>
        <w:t xml:space="preserve"> te Ureda za udruge Vlade Republike Hrvatske.</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Projekt koji je započeo 1. studenog 2020., a traje do 30. lipnja 2022. je, prije svega, usmjeren na osnaživanje partnerskih organizacija i njihovog osoblja za inovativan rad s mladima na temama povezanima s održivim razvojem, zaštitom okoliša i klimatskim</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promjenama. Do osnaživanja je došlo razmjenom dobrih praksi, zelenih vještina i alata za neformalno učenje među trima organizacijama tijekom triju „treninga za trenere”. Treninzi su omogućili da svaka organizacija inovira svoju već postojeću „zelenu ekspertizu” preuzimanjem metoda partnera, odnosno izradom inovativnih programa za kvalitetniji, moderan i atraktivan rad s mladima, u skladu s očekivanjima mladih.</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Devet osoba koje rade s mladima u projektnom timu postale su na taj način „katalizatori” pozitivnih promjena kod drugih dviju ciljanih skupina projekta – mladih osoba i nastavnika.</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Tijekom tri radionice u koje je bilo uključeno 30 mladih volontera, partneri su testirali </w:t>
      </w:r>
      <w:r>
        <w:rPr>
          <w:rFonts w:eastAsia="Droid Sans Fallback" w:cs="Calibri"/>
          <w:b w:val="false"/>
          <w:bCs w:val="false"/>
          <w:color w:val="00000A"/>
          <w:kern w:val="0"/>
          <w:sz w:val="24"/>
          <w:szCs w:val="24"/>
          <w:lang w:val="hr-HR" w:eastAsia="en-US" w:bidi="ar-SA"/>
        </w:rPr>
        <w:t xml:space="preserve">inovativne </w:t>
      </w:r>
      <w:r>
        <w:rPr>
          <w:rFonts w:eastAsia="Droid Sans Fallback" w:cs="Calibri"/>
          <w:b w:val="false"/>
          <w:bCs w:val="false"/>
          <w:color w:val="00000A"/>
          <w:kern w:val="0"/>
          <w:sz w:val="24"/>
          <w:szCs w:val="24"/>
          <w:lang w:val="hr-HR" w:eastAsia="en-US" w:bidi="ar-SA"/>
        </w:rPr>
        <w:t xml:space="preserve">alate za neformalno učenje u vlastitim lokalnim zajednicama. Time su ujedno i pripremili i osnažili mlade da djeluju kao agenti promjena za održivi razvoj, podigli njihovu svijest o okolišnim i klimatskim izazovima te unaprijedili, prije svega, njihovu građansku kompetenciju i njihove zelene vještine. Mladi su postali svjesniji kako njihovo ponašanje utječe na okoliš, ali i kako njihove nove vještine omogućavaju volontiranje i rad u zelenim sektorima. Na ovaj način omogućene su pozitivne promjene ponašanja, osobnih preferencija, potrošačkih navika i životnih stilova mladih.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pPr>
      <w:r>
        <w:rPr>
          <w:rFonts w:eastAsia="Droid Sans Fallback" w:cs="Calibri"/>
          <w:b w:val="false"/>
          <w:bCs w:val="false"/>
          <w:color w:val="00000A"/>
          <w:kern w:val="0"/>
          <w:sz w:val="24"/>
          <w:szCs w:val="24"/>
          <w:lang w:val="hr-HR" w:eastAsia="en-US" w:bidi="ar-SA"/>
        </w:rPr>
        <w:t xml:space="preserve">Zelena Istra povela je tako 22-je mladih učenika Tehničke škole na urbanu šetnju Monvidalom, Valvidalom i Gregovicom pod nazivom „Beton, beton, samo beton?!”. Izvještaj pronađite </w:t>
      </w:r>
      <w:hyperlink r:id="rId4">
        <w:r>
          <w:rPr>
            <w:rStyle w:val="Internetskapoveznica"/>
            <w:rFonts w:eastAsia="Droid Sans Fallback" w:cs="Calibri"/>
            <w:b w:val="false"/>
            <w:bCs w:val="false"/>
            <w:color w:val="00000A"/>
            <w:kern w:val="0"/>
            <w:sz w:val="24"/>
            <w:szCs w:val="24"/>
            <w:lang w:val="hr-HR" w:eastAsia="en-US" w:bidi="ar-SA"/>
          </w:rPr>
          <w:t>ovdje</w:t>
        </w:r>
      </w:hyperlink>
      <w:r>
        <w:rPr>
          <w:rFonts w:eastAsia="Droid Sans Fallback" w:cs="Calibri"/>
          <w:b w:val="false"/>
          <w:bCs w:val="false"/>
          <w:color w:val="00000A"/>
          <w:kern w:val="0"/>
          <w:sz w:val="24"/>
          <w:szCs w:val="24"/>
          <w:lang w:val="hr-HR" w:eastAsia="en-US" w:bidi="ar-SA"/>
        </w:rPr>
        <w:t>.</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S ciljem osnaživanja međusektorske suradnje i doprinosa području školskog obrazovanja, priručnik, koji je jedan od značajnijih proizvoda projekta „Alati za učenje – alati za održivi razvoj”, bit će dostavljen svim školama u Hrvatskoj, Sloveniji i Lombardiji te institucijama relevantnima za školsko obrazovanje. Partneri </w:t>
      </w:r>
      <w:r>
        <w:rPr>
          <w:rFonts w:eastAsia="Droid Sans Fallback" w:cs="Calibri"/>
          <w:b w:val="false"/>
          <w:bCs w:val="false"/>
          <w:color w:val="00000A"/>
          <w:kern w:val="0"/>
          <w:sz w:val="24"/>
          <w:szCs w:val="24"/>
          <w:lang w:val="hr-HR" w:eastAsia="en-US" w:bidi="ar-SA"/>
        </w:rPr>
        <w:t xml:space="preserve">su </w:t>
      </w:r>
      <w:r>
        <w:rPr>
          <w:rFonts w:eastAsia="Droid Sans Fallback" w:cs="Calibri"/>
          <w:b w:val="false"/>
          <w:bCs w:val="false"/>
          <w:color w:val="00000A"/>
          <w:kern w:val="0"/>
          <w:sz w:val="24"/>
          <w:szCs w:val="24"/>
          <w:lang w:val="hr-HR" w:eastAsia="en-US" w:bidi="ar-SA"/>
        </w:rPr>
        <w:t>organizira</w:t>
      </w:r>
      <w:r>
        <w:rPr>
          <w:rFonts w:eastAsia="Droid Sans Fallback" w:cs="Calibri"/>
          <w:b w:val="false"/>
          <w:bCs w:val="false"/>
          <w:color w:val="00000A"/>
          <w:kern w:val="0"/>
          <w:sz w:val="24"/>
          <w:szCs w:val="24"/>
          <w:lang w:val="hr-HR" w:eastAsia="en-US" w:bidi="ar-SA"/>
        </w:rPr>
        <w:t xml:space="preserve">li </w:t>
      </w:r>
      <w:r>
        <w:rPr>
          <w:rFonts w:eastAsia="Droid Sans Fallback" w:cs="Calibri"/>
          <w:b w:val="false"/>
          <w:bCs w:val="false"/>
          <w:color w:val="00000A"/>
          <w:kern w:val="0"/>
          <w:sz w:val="24"/>
          <w:szCs w:val="24"/>
          <w:lang w:val="hr-HR" w:eastAsia="en-US" w:bidi="ar-SA"/>
        </w:rPr>
        <w:t xml:space="preserve">i predstavljanje priručnika za nastavnike u Puli, Ljubljani i Milanu. </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hyperlink r:id="rId5">
        <w:r>
          <w:rPr>
            <w:rStyle w:val="Internetskapoveznica"/>
            <w:rFonts w:eastAsia="Droid Sans Fallback" w:cs="Calibri"/>
            <w:b w:val="false"/>
            <w:bCs w:val="false"/>
            <w:color w:val="00000A"/>
            <w:kern w:val="0"/>
            <w:sz w:val="24"/>
            <w:szCs w:val="24"/>
            <w:lang w:val="hr-HR" w:eastAsia="en-US" w:bidi="ar-SA"/>
          </w:rPr>
          <w:t>Ovdje</w:t>
        </w:r>
      </w:hyperlink>
      <w:r>
        <w:rPr>
          <w:rFonts w:eastAsia="Droid Sans Fallback" w:cs="Calibri"/>
          <w:b w:val="false"/>
          <w:bCs w:val="false"/>
          <w:color w:val="00000A"/>
          <w:kern w:val="0"/>
          <w:sz w:val="24"/>
          <w:szCs w:val="24"/>
          <w:lang w:val="hr-HR" w:eastAsia="en-US" w:bidi="ar-SA"/>
        </w:rPr>
        <w:t xml:space="preserve"> pročitajte kako su istarski nastavnici ocijenili priručnik, odnosno njegovu prezentaciju.</w:t>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r>
    </w:p>
    <w:p>
      <w:pPr>
        <w:pStyle w:val="Normal"/>
        <w:jc w:val="left"/>
        <w:rPr>
          <w:rFonts w:ascii="Calibri" w:hAnsi="Calibri" w:eastAsia="Droid Sans Fallback" w:cs="Calibri"/>
          <w:b w:val="false"/>
          <w:b w:val="false"/>
          <w:bCs w:val="false"/>
          <w:color w:val="00000A"/>
          <w:kern w:val="0"/>
          <w:sz w:val="24"/>
          <w:szCs w:val="24"/>
          <w:lang w:val="hr-HR" w:eastAsia="en-US" w:bidi="ar-SA"/>
        </w:rPr>
      </w:pPr>
      <w:r>
        <w:rPr>
          <w:rFonts w:eastAsia="Droid Sans Fallback" w:cs="Calibri"/>
          <w:b w:val="false"/>
          <w:bCs w:val="false"/>
          <w:color w:val="00000A"/>
          <w:kern w:val="0"/>
          <w:sz w:val="24"/>
          <w:szCs w:val="24"/>
          <w:lang w:val="hr-HR" w:eastAsia="en-US" w:bidi="ar-SA"/>
        </w:rPr>
        <w:t xml:space="preserve">Projekt </w:t>
      </w:r>
      <w:hyperlink r:id="rId6">
        <w:r>
          <w:rPr>
            <w:rStyle w:val="Internetskapoveznica"/>
            <w:rFonts w:eastAsia="Droid Sans Fallback" w:cs="Calibri"/>
            <w:b w:val="false"/>
            <w:bCs w:val="false"/>
            <w:color w:val="00000A"/>
            <w:kern w:val="0"/>
            <w:sz w:val="24"/>
            <w:szCs w:val="24"/>
            <w:lang w:val="hr-HR" w:eastAsia="en-US" w:bidi="ar-SA"/>
          </w:rPr>
          <w:t>„</w:t>
        </w:r>
        <w:r>
          <w:rPr>
            <w:rStyle w:val="Internetskapoveznica"/>
            <w:rFonts w:eastAsia="Droid Sans Fallback" w:cs="Calibri"/>
            <w:b w:val="false"/>
            <w:bCs w:val="false"/>
            <w:color w:val="00000A"/>
            <w:kern w:val="0"/>
            <w:sz w:val="24"/>
            <w:szCs w:val="24"/>
            <w:lang w:val="hr-HR" w:eastAsia="en-US" w:bidi="ar-SA"/>
          </w:rPr>
          <w:t>Alati za učenje – alati za održivi razvoj”</w:t>
        </w:r>
      </w:hyperlink>
      <w:r>
        <w:rPr>
          <w:rFonts w:eastAsia="Droid Sans Fallback" w:cs="Calibri"/>
          <w:b w:val="false"/>
          <w:bCs w:val="false"/>
          <w:color w:val="00000A"/>
          <w:kern w:val="0"/>
          <w:sz w:val="24"/>
          <w:szCs w:val="24"/>
          <w:lang w:val="hr-HR" w:eastAsia="en-US" w:bidi="ar-SA"/>
        </w:rPr>
        <w:t xml:space="preserve"> </w:t>
      </w:r>
      <w:r>
        <w:rPr>
          <w:rFonts w:eastAsia="Droid Sans Fallback" w:cs="Calibri"/>
          <w:b w:val="false"/>
          <w:bCs w:val="false"/>
          <w:color w:val="00000A"/>
          <w:kern w:val="0"/>
          <w:sz w:val="24"/>
          <w:szCs w:val="24"/>
          <w:lang w:val="hr-HR" w:eastAsia="en-US" w:bidi="ar-SA"/>
        </w:rPr>
        <w:t>podržava nastavnike i osobe koje rade s mladima u njihovoj upornoj potrazi za kvalitetnim i inovativnim alatima koji mlade potiču na djelovanje u smjeru održivog razvoja.</w:t>
      </w:r>
    </w:p>
    <w:p>
      <w:pPr>
        <w:pStyle w:val="Normal"/>
        <w:jc w:val="left"/>
        <w:rPr/>
      </w:pPr>
      <w:r>
        <w:rPr/>
      </w:r>
    </w:p>
    <w:sectPr>
      <w:headerReference w:type="default" r:id="rId7"/>
      <w:footerReference w:type="default" r:id="rId8"/>
      <w:type w:val="nextPage"/>
      <w:pgSz w:w="11906" w:h="16838"/>
      <w:pgMar w:left="720" w:right="720" w:header="680" w:top="737" w:footer="1247"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eastAsia="Times New Roman" w:cs="Arial"/>
        <w:color w:val="385623"/>
        <w:sz w:val="15"/>
        <w:szCs w:val="15"/>
      </w:rPr>
    </w:pPr>
    <w:r>
      <w:rPr>
        <w:rFonts w:eastAsia="Times New Roman" w:cs="Arial" w:ascii="Arial" w:hAnsi="Arial"/>
        <w:color w:val="385623" w:themeColor="accent6" w:themeShade="80"/>
        <w:sz w:val="15"/>
        <w:szCs w:val="15"/>
        <w:lang w:val="hr-HR" w:eastAsia="zh-CN" w:bidi="hi-IN"/>
      </w:rPr>
      <w:t>Ovaj materijal izražava isključivo stajalište njegovih autora i Komisija se ne može smatrati odgovornom prilikom uporabe informacija koje se u njemu nalaze. Projekt sufinancira Ured za udruge Vlade Republike Hrvatske. Stajališta izražena u ovom materijalu isključiva su odgovornost Zelene Istre i ne odražavaju nužno stajalište Ureda za udruge Vlade Republike Hrvatske.</w:t>
    </w:r>
  </w:p>
  <w:p>
    <w:pPr>
      <w:pStyle w:val="Podnoje"/>
      <w:rPr/>
    </w:pPr>
    <w:r>
      <w:rPr/>
      <w:drawing>
        <wp:anchor behindDoc="1" distT="0" distB="0" distL="0" distR="0" simplePos="0" locked="0" layoutInCell="1" allowOverlap="1" relativeHeight="5">
          <wp:simplePos x="0" y="0"/>
          <wp:positionH relativeFrom="column">
            <wp:posOffset>-472440</wp:posOffset>
          </wp:positionH>
          <wp:positionV relativeFrom="paragraph">
            <wp:posOffset>170815</wp:posOffset>
          </wp:positionV>
          <wp:extent cx="7560310" cy="100393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7560310" cy="100393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drawing>
        <wp:anchor behindDoc="1" distT="0" distB="0" distL="0" distR="0" simplePos="0" locked="0" layoutInCell="1" allowOverlap="1" relativeHeight="3">
          <wp:simplePos x="0" y="0"/>
          <wp:positionH relativeFrom="column">
            <wp:posOffset>-474345</wp:posOffset>
          </wp:positionH>
          <wp:positionV relativeFrom="paragraph">
            <wp:posOffset>-548640</wp:posOffset>
          </wp:positionV>
          <wp:extent cx="7560310" cy="119443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560310" cy="119443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 w:val="20"/>
        <w:szCs w:val="24"/>
        <w:lang w:val="hr-HR"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libri" w:hAnsi="Calibri" w:eastAsia="Droid Sans Fallback" w:cs="Calibri"/>
      <w:color w:val="00000A"/>
      <w:kern w:val="0"/>
      <w:sz w:val="24"/>
      <w:szCs w:val="24"/>
      <w:lang w:val="hr-HR" w:eastAsia="en-US" w:bidi="ar-SA"/>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Znakovifusnota">
    <w:name w:val="Znakovi fusnota"/>
    <w:qFormat/>
    <w:rPr/>
  </w:style>
  <w:style w:type="character" w:styleId="Sidrofusnote">
    <w:name w:val="Sidro fusnote"/>
    <w:rPr>
      <w:vertAlign w:val="superscript"/>
    </w:rPr>
  </w:style>
  <w:style w:type="character" w:styleId="Sidrozavrnebiljeke">
    <w:name w:val="Sidro završne bilješke"/>
    <w:rPr>
      <w:vertAlign w:val="superscript"/>
    </w:rPr>
  </w:style>
  <w:style w:type="character" w:styleId="Znakovizavrnihbiljeki">
    <w:name w:val="Znakovi završnih bilješki"/>
    <w:qFormat/>
    <w:rPr/>
  </w:style>
  <w:style w:type="character" w:styleId="Jakoisticanje">
    <w:name w:val="Jako isticanje"/>
    <w:qFormat/>
    <w:rPr>
      <w:b/>
      <w:bCs/>
    </w:rPr>
  </w:style>
  <w:style w:type="character" w:styleId="Internetskapoveznica">
    <w:name w:val="Internetska poveznica"/>
    <w:rPr>
      <w:color w:val="000080"/>
      <w:u w:val="single"/>
      <w:lang w:val="zxx" w:eastAsia="zxx" w:bidi="zxx"/>
    </w:rPr>
  </w:style>
  <w:style w:type="paragraph" w:styleId="Stilnaslova">
    <w:name w:val="Stil naslova"/>
    <w:basedOn w:val="Normal"/>
    <w:next w:val="TextBody"/>
    <w:qFormat/>
    <w:pPr>
      <w:keepNext w:val="true"/>
      <w:spacing w:before="240" w:after="120"/>
    </w:pPr>
    <w:rPr>
      <w:rFonts w:ascii="Liberation Sans" w:hAnsi="Liberation Sans" w:eastAsia="Droid Sans Fallback" w:cs="FreeSans"/>
      <w:sz w:val="28"/>
      <w:szCs w:val="28"/>
    </w:rPr>
  </w:style>
  <w:style w:type="paragraph" w:styleId="Tijeloteksta">
    <w:name w:val="Body Text"/>
    <w:basedOn w:val="Normal"/>
    <w:pPr>
      <w:spacing w:lineRule="auto" w:line="276" w:before="0" w:after="140"/>
    </w:pPr>
    <w:rPr/>
  </w:style>
  <w:style w:type="paragraph" w:styleId="Popis">
    <w:name w:val="List"/>
    <w:basedOn w:val="TextBody"/>
    <w:pPr/>
    <w:rPr>
      <w:rFonts w:cs="FreeSans"/>
    </w:rPr>
  </w:style>
  <w:style w:type="paragraph" w:styleId="Opiselementa">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TextBody">
    <w:name w:val="Text Body"/>
    <w:basedOn w:val="Normal"/>
    <w:qFormat/>
    <w:pPr>
      <w:spacing w:lineRule="auto" w:line="288" w:before="0" w:after="140"/>
    </w:pPr>
    <w:rPr/>
  </w:style>
  <w:style w:type="paragraph" w:styleId="Zaglavljeipodnoje">
    <w:name w:val="Zaglavlje i podnožje"/>
    <w:basedOn w:val="Normal"/>
    <w:qFormat/>
    <w:pPr/>
    <w:rPr/>
  </w:style>
  <w:style w:type="paragraph" w:styleId="Zaglavlje">
    <w:name w:val="Header"/>
    <w:basedOn w:val="Normal"/>
    <w:pPr>
      <w:tabs>
        <w:tab w:val="clear" w:pos="720"/>
        <w:tab w:val="center" w:pos="4703" w:leader="none"/>
        <w:tab w:val="right" w:pos="9406" w:leader="none"/>
      </w:tabs>
    </w:pPr>
    <w:rPr/>
  </w:style>
  <w:style w:type="paragraph" w:styleId="Podnoje">
    <w:name w:val="Footer"/>
    <w:basedOn w:val="Normal"/>
    <w:pPr>
      <w:tabs>
        <w:tab w:val="clear" w:pos="720"/>
        <w:tab w:val="center" w:pos="4703" w:leader="none"/>
        <w:tab w:val="right" w:pos="9406" w:leader="none"/>
      </w:tabs>
    </w:pPr>
    <w:rPr/>
  </w:style>
  <w:style w:type="paragraph" w:styleId="Fusnota">
    <w:name w:val="Footnote Text"/>
    <w:basedOn w:val="Normal"/>
    <w:pPr>
      <w:suppressLineNumbers/>
      <w:ind w:left="339" w:hanging="339"/>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elena-istra.hr/hr/articles/novosti/877/zelena-istra-s-partnerima-izdala-novi-prirucnik-za/" TargetMode="External"/><Relationship Id="rId3" Type="http://schemas.openxmlformats.org/officeDocument/2006/relationships/hyperlink" Target="https://www.mobilnost.hr/hr/sadrzaj/programi/erasmus/" TargetMode="External"/><Relationship Id="rId4" Type="http://schemas.openxmlformats.org/officeDocument/2006/relationships/hyperlink" Target="https://www.zelena-istra.hr/hr/articles/novosti/872/edukacija-mladih-kljucna-za-promjenu-zelena-istra-/" TargetMode="External"/><Relationship Id="rId5" Type="http://schemas.openxmlformats.org/officeDocument/2006/relationships/hyperlink" Target="https://www.zelena-istra.hr/hr/articles/novosti/876/istarski-nastavnici-osnazeni-za-primjenu-metoda-za/" TargetMode="External"/><Relationship Id="rId6" Type="http://schemas.openxmlformats.org/officeDocument/2006/relationships/hyperlink" Target="https://www.zelena-istra.hr/hr/projekti/alati-za-ucenje-alati-za-odrzivi-razvoj/"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1096</TotalTime>
  <Application>LibreOffice/6.4.7.2$Linux_X86_64 LibreOffice_project/40$Build-2</Application>
  <Pages>2</Pages>
  <Words>656</Words>
  <Characters>3981</Characters>
  <CharactersWithSpaces>4633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2020-11-17T11:58:00Z</dcterms:created>
  <dc:creator>Microsoft Office User</dc:creator>
  <dc:description/>
  <dc:language>hr-HR</dc:language>
  <cp:lastModifiedBy>Dunja Mickov</cp:lastModifiedBy>
  <dcterms:modified xsi:type="dcterms:W3CDTF">2022-06-30T08:39:00Z</dcterms:modified>
  <cp:revision>23</cp:revision>
  <dc:subject/>
  <dc:title/>
</cp:coreProperties>
</file>